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89712" w14:textId="4E0A41A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97bis</w:t>
      </w:r>
      <w:r w:rsidRPr="00CE0424">
        <w:tab/>
      </w:r>
      <w:r w:rsidR="00E74440" w:rsidRPr="00E74440">
        <w:rPr>
          <w:sz w:val="32"/>
          <w:szCs w:val="32"/>
        </w:rPr>
        <w:t>R2-1702717</w:t>
      </w:r>
    </w:p>
    <w:p w14:paraId="5D18802E" w14:textId="7607904D" w:rsidR="00E90E49" w:rsidRPr="00CE0424" w:rsidRDefault="00AE3743" w:rsidP="00311702">
      <w:pPr>
        <w:pStyle w:val="3GPPHeader"/>
      </w:pPr>
      <w:r>
        <w:t>Spokane, USA, 3</w:t>
      </w:r>
      <w:r w:rsidRPr="00AE3743">
        <w:rPr>
          <w:vertAlign w:val="superscript"/>
        </w:rPr>
        <w:t>rd</w:t>
      </w:r>
      <w:r>
        <w:t xml:space="preserve"> – 7</w:t>
      </w:r>
      <w:r w:rsidRPr="00AE3743">
        <w:rPr>
          <w:vertAlign w:val="superscript"/>
        </w:rPr>
        <w:t>th</w:t>
      </w:r>
      <w:r>
        <w:t xml:space="preserve"> April 2017</w:t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05DCFB54" w:rsidR="00E90E49" w:rsidRPr="000D2EAA" w:rsidRDefault="00E90E49" w:rsidP="00311702">
      <w:pPr>
        <w:pStyle w:val="3GPPHeader"/>
        <w:rPr>
          <w:sz w:val="22"/>
          <w:szCs w:val="22"/>
          <w:lang w:val="en-US"/>
        </w:rPr>
      </w:pPr>
      <w:r w:rsidRPr="000D2EAA">
        <w:rPr>
          <w:sz w:val="22"/>
          <w:szCs w:val="22"/>
          <w:lang w:val="en-US"/>
        </w:rPr>
        <w:t>Agenda Item:</w:t>
      </w:r>
      <w:r w:rsidRPr="000D2EAA">
        <w:rPr>
          <w:sz w:val="22"/>
          <w:szCs w:val="22"/>
          <w:lang w:val="en-US"/>
        </w:rPr>
        <w:tab/>
      </w:r>
      <w:r w:rsidR="00E74440" w:rsidRPr="000D2EAA">
        <w:rPr>
          <w:sz w:val="22"/>
          <w:szCs w:val="22"/>
          <w:lang w:val="en-US"/>
        </w:rPr>
        <w:t>10.2.2.4</w:t>
      </w:r>
    </w:p>
    <w:p w14:paraId="3D09BB9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96F3307" w14:textId="2DE96B4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F3AA0">
        <w:rPr>
          <w:sz w:val="22"/>
          <w:szCs w:val="22"/>
        </w:rPr>
        <w:t>Direct SRB – RRC security considerations</w:t>
      </w:r>
    </w:p>
    <w:p w14:paraId="7A0567D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509">
        <w:rPr>
          <w:sz w:val="22"/>
          <w:szCs w:val="22"/>
        </w:rPr>
        <w:t>Discussion, Decision</w:t>
      </w:r>
    </w:p>
    <w:p w14:paraId="3C6D63D8" w14:textId="77777777" w:rsidR="00E90E49" w:rsidRPr="00CE0424" w:rsidRDefault="00E90E49" w:rsidP="00E90E49"/>
    <w:p w14:paraId="4B9C2CE9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173BF82" w14:textId="41FE71DF" w:rsidR="00477768" w:rsidRDefault="005B591A" w:rsidP="00CE0424">
      <w:pPr>
        <w:pStyle w:val="BodyText"/>
      </w:pPr>
      <w:r>
        <w:t>In RAN2#97, the following agreements were made</w:t>
      </w:r>
      <w:r w:rsidR="00E453D4">
        <w:t xml:space="preserve"> regarding RRC signalling between the UE and the SN</w:t>
      </w:r>
      <w:r>
        <w:t>:</w:t>
      </w:r>
    </w:p>
    <w:p w14:paraId="7F689BB8" w14:textId="77777777" w:rsidR="00E453D4" w:rsidRDefault="00E453D4" w:rsidP="00E453D4">
      <w:pPr>
        <w:pStyle w:val="Doc-text2"/>
      </w:pPr>
    </w:p>
    <w:p w14:paraId="6B2AE8DD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8344C69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For the SN/MN RRC reconfiguration requiring also MN/SN RRC reconfiguration, a MN RRC message is delivered with an embedded SN RRC message.</w:t>
      </w:r>
    </w:p>
    <w:p w14:paraId="3964482A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313BF0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E453D4">
        <w:rPr>
          <w:b/>
        </w:rPr>
        <w:t>UE can be configured with an SCG SRB to allow SN RRC messages to be sent directly between UE and SN.</w:t>
      </w:r>
    </w:p>
    <w:p w14:paraId="16D5475F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1FD18B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For SN RRC reconfigurations not requiring any coordination with MN then SN RRC messages can be transported directly to the UE (or eNB implementation can be deliver it embedded within a MN RRC message)</w:t>
      </w:r>
    </w:p>
    <w:p w14:paraId="52B686A7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58A79C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Measurement reporting for mobility within the SN can be transported in SN RRC messages </w:t>
      </w:r>
      <w:r w:rsidRPr="009715B0">
        <w:t xml:space="preserve">directly </w:t>
      </w:r>
      <w:r>
        <w:t>from UE to SN, if SCG SRB is configured. Detail rules for UE to select transmission path for UL message to be defined in WI.</w:t>
      </w:r>
    </w:p>
    <w:p w14:paraId="4722D793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B4FC52" w14:textId="6D78CA98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="00AA0914">
        <w:t>These agreements</w:t>
      </w:r>
      <w:r>
        <w:t xml:space="preserve"> do not imply that the UE has to do any reordering of RRC messages.</w:t>
      </w:r>
    </w:p>
    <w:p w14:paraId="20408811" w14:textId="77777777" w:rsidR="00E453D4" w:rsidRDefault="00E453D4" w:rsidP="00E453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B0C971" w14:textId="77777777" w:rsidR="00E453D4" w:rsidRDefault="00E453D4" w:rsidP="00E453D4">
      <w:pPr>
        <w:pStyle w:val="Doc-text2"/>
      </w:pPr>
    </w:p>
    <w:p w14:paraId="0EAC3E4C" w14:textId="153FAD0D" w:rsidR="00E74440" w:rsidRDefault="00E74440" w:rsidP="00E74440">
      <w:pPr>
        <w:rPr>
          <w:rFonts w:cs="Arial"/>
          <w:lang w:val="en-US"/>
        </w:rPr>
      </w:pPr>
      <w:r>
        <w:t>I</w:t>
      </w:r>
      <w:r>
        <w:rPr>
          <w:rFonts w:cs="Arial"/>
          <w:lang w:val="en-US"/>
        </w:rPr>
        <w:t>t has also been agreed that:</w:t>
      </w:r>
    </w:p>
    <w:p w14:paraId="00DEAC60" w14:textId="77777777" w:rsidR="00E74440" w:rsidRDefault="00E74440" w:rsidP="00E744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79878C47" w14:textId="77777777" w:rsidR="00E74440" w:rsidRDefault="00E74440" w:rsidP="00E744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For Scenario 3/a/x of LTE/NR tight interworking, the S-KeNB is derived from the master node KeNB.</w:t>
      </w:r>
    </w:p>
    <w:p w14:paraId="37EA8DCC" w14:textId="77777777" w:rsidR="00E74440" w:rsidRDefault="00E74440" w:rsidP="00CE0424">
      <w:pPr>
        <w:pStyle w:val="BodyText"/>
      </w:pPr>
    </w:p>
    <w:p w14:paraId="36235ADF" w14:textId="7A25AA46" w:rsidR="005B591A" w:rsidRDefault="005B591A" w:rsidP="00CE0424">
      <w:pPr>
        <w:pStyle w:val="BodyText"/>
      </w:pPr>
      <w:r>
        <w:t>In this paper, we will discuss</w:t>
      </w:r>
      <w:r w:rsidR="00E453D4">
        <w:t xml:space="preserve"> </w:t>
      </w:r>
      <w:r w:rsidR="00D02336">
        <w:t>some</w:t>
      </w:r>
      <w:r w:rsidR="00E453D4">
        <w:t xml:space="preserve"> security</w:t>
      </w:r>
      <w:r w:rsidR="00D02336">
        <w:t xml:space="preserve"> aspects</w:t>
      </w:r>
      <w:r w:rsidR="00E453D4">
        <w:t xml:space="preserve"> of the</w:t>
      </w:r>
      <w:r w:rsidR="008A1B5C">
        <w:t xml:space="preserve"> introduction of this </w:t>
      </w:r>
      <w:r w:rsidR="00E453D4">
        <w:t>direct SRB from the SN.</w:t>
      </w:r>
      <w:r w:rsidR="003B169B">
        <w:t xml:space="preserve"> Note that we focus on the LTE-NR tight interworking scenario where the LTE is the MN and NR is the SN.</w:t>
      </w:r>
    </w:p>
    <w:p w14:paraId="1086C867" w14:textId="37017C26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E11116D" w14:textId="4FAF8DA1" w:rsidR="00E453D4" w:rsidRDefault="008A1B5C" w:rsidP="00CE0424">
      <w:pPr>
        <w:pStyle w:val="BodyText"/>
      </w:pPr>
      <w:r>
        <w:t xml:space="preserve">In LTE DC, </w:t>
      </w:r>
      <w:r w:rsidR="00E453D4">
        <w:t>the concept of S-KeNB was introduced to handle the security in the UP</w:t>
      </w:r>
      <w:r w:rsidR="0097122B">
        <w:t xml:space="preserve"> [1][2]</w:t>
      </w:r>
      <w:r w:rsidR="00E453D4">
        <w:t>. Figure 1 illustrates the security handling of the UP in LTE DC.</w:t>
      </w:r>
    </w:p>
    <w:p w14:paraId="4AB1DFA6" w14:textId="3F9B9253" w:rsidR="00BE7AE6" w:rsidRDefault="00BE7AE6" w:rsidP="00CE0424">
      <w:pPr>
        <w:pStyle w:val="BodyText"/>
      </w:pPr>
      <w:r>
        <w:t xml:space="preserve">The </w:t>
      </w:r>
      <w:r w:rsidR="005245C7">
        <w:t>MN</w:t>
      </w:r>
      <w:r>
        <w:t xml:space="preserve"> first derives the S-K</w:t>
      </w:r>
      <w:r w:rsidRPr="00BE7AE6">
        <w:rPr>
          <w:vertAlign w:val="subscript"/>
        </w:rPr>
        <w:t>eNB</w:t>
      </w:r>
      <w:r>
        <w:t xml:space="preserve"> from the K</w:t>
      </w:r>
      <w:r w:rsidRPr="00BE7AE6">
        <w:rPr>
          <w:vertAlign w:val="subscript"/>
        </w:rPr>
        <w:t>eNB</w:t>
      </w:r>
      <w:r>
        <w:t xml:space="preserve"> and an SCG freshness counter. The S-K</w:t>
      </w:r>
      <w:r w:rsidRPr="00BE7AE6">
        <w:rPr>
          <w:vertAlign w:val="subscript"/>
        </w:rPr>
        <w:t>eNB</w:t>
      </w:r>
      <w:r>
        <w:t xml:space="preserve"> is sent to the </w:t>
      </w:r>
      <w:r w:rsidR="005245C7">
        <w:t>SN</w:t>
      </w:r>
      <w:r>
        <w:t xml:space="preserve">, along with the list of </w:t>
      </w:r>
      <w:r w:rsidR="0097122B">
        <w:t xml:space="preserve">encryption </w:t>
      </w:r>
      <w:r>
        <w:t xml:space="preserve">algorithms that the UE supports and an indication that this is referring to UP security. The </w:t>
      </w:r>
      <w:r w:rsidR="005245C7">
        <w:t>SN</w:t>
      </w:r>
      <w:r>
        <w:t xml:space="preserve"> selects an algorithm from the </w:t>
      </w:r>
      <w:r w:rsidR="0097122B">
        <w:t xml:space="preserve">provided </w:t>
      </w:r>
      <w:r>
        <w:t>list and uses that and the S-K</w:t>
      </w:r>
      <w:r w:rsidRPr="00BE7AE6">
        <w:rPr>
          <w:vertAlign w:val="subscript"/>
        </w:rPr>
        <w:t>eNB</w:t>
      </w:r>
      <w:r>
        <w:t xml:space="preserve"> to derive the K</w:t>
      </w:r>
      <w:r>
        <w:rPr>
          <w:vertAlign w:val="subscript"/>
        </w:rPr>
        <w:t>UPenc</w:t>
      </w:r>
      <w:r>
        <w:t xml:space="preserve"> to be used for UP encryption. The </w:t>
      </w:r>
      <w:r w:rsidR="00E55CB8">
        <w:t xml:space="preserve">selected encryption algorithm by the </w:t>
      </w:r>
      <w:r w:rsidR="005245C7">
        <w:t>SN</w:t>
      </w:r>
      <w:r>
        <w:t xml:space="preserve"> </w:t>
      </w:r>
      <w:r w:rsidR="00E55CB8">
        <w:t>and the SCG counter used by the MN are communicated to the UE</w:t>
      </w:r>
      <w:r>
        <w:t xml:space="preserve">. The UE then uses the same mechanisms as the </w:t>
      </w:r>
      <w:r w:rsidR="005245C7">
        <w:t>MN</w:t>
      </w:r>
      <w:r>
        <w:t xml:space="preserve"> to compute the S-</w:t>
      </w:r>
      <w:r>
        <w:lastRenderedPageBreak/>
        <w:t>K</w:t>
      </w:r>
      <w:r w:rsidRPr="00BE7AE6">
        <w:rPr>
          <w:vertAlign w:val="subscript"/>
        </w:rPr>
        <w:t>eNB</w:t>
      </w:r>
      <w:r>
        <w:t xml:space="preserve">, and then use it in the same way as in the </w:t>
      </w:r>
      <w:r w:rsidR="005245C7">
        <w:t>SN</w:t>
      </w:r>
      <w:r>
        <w:t xml:space="preserve"> to compute the K</w:t>
      </w:r>
      <w:r>
        <w:rPr>
          <w:vertAlign w:val="subscript"/>
        </w:rPr>
        <w:t>UPenc</w:t>
      </w:r>
      <w:r w:rsidR="008524D7">
        <w:t xml:space="preserve">. </w:t>
      </w:r>
      <w:r w:rsidR="0097122B">
        <w:t xml:space="preserve">After that, data radio bearers </w:t>
      </w:r>
      <w:r w:rsidR="008524D7">
        <w:t>are encrypted (and decrypted at the receiving end)</w:t>
      </w:r>
      <w:r w:rsidR="0097122B">
        <w:t xml:space="preserve"> by X</w:t>
      </w:r>
      <w:r w:rsidR="00EE37A0">
        <w:t>O</w:t>
      </w:r>
      <w:r w:rsidR="0097122B">
        <w:t>R</w:t>
      </w:r>
      <w:r w:rsidR="008524D7">
        <w:t>ing the bearer data stream with a bit stream generated by the chosen EPS encryption algorithm (EEA) that uses the K</w:t>
      </w:r>
      <w:r w:rsidR="008524D7">
        <w:rPr>
          <w:vertAlign w:val="subscript"/>
        </w:rPr>
        <w:t>UPenc</w:t>
      </w:r>
      <w:r w:rsidR="008524D7">
        <w:t xml:space="preserve"> as well as the bearer ID, direction (UL or DL), the length of t</w:t>
      </w:r>
      <w:r w:rsidR="0097122B">
        <w:t>he bit stream to be generated and</w:t>
      </w:r>
      <w:r w:rsidR="008524D7">
        <w:t xml:space="preserve"> the PDCP count value).</w:t>
      </w:r>
    </w:p>
    <w:p w14:paraId="618CF9F5" w14:textId="77777777" w:rsidR="00E453D4" w:rsidRDefault="00E453D4" w:rsidP="00CE0424">
      <w:pPr>
        <w:pStyle w:val="BodyText"/>
      </w:pPr>
    </w:p>
    <w:p w14:paraId="4AF11F34" w14:textId="77777777" w:rsidR="00E453D4" w:rsidRDefault="00E453D4" w:rsidP="00CE0424">
      <w:pPr>
        <w:pStyle w:val="BodyText"/>
      </w:pPr>
    </w:p>
    <w:p w14:paraId="615EC6CA" w14:textId="75C40811" w:rsidR="008524D7" w:rsidRDefault="00E74440" w:rsidP="008524D7">
      <w:pPr>
        <w:pStyle w:val="BodyText"/>
        <w:keepNext/>
      </w:pPr>
      <w:r>
        <w:object w:dxaOrig="10635" w:dyaOrig="8700" w14:anchorId="72779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93.75pt" o:ole="">
            <v:imagedata r:id="rId14" o:title=""/>
          </v:shape>
          <o:OLEObject Type="Embed" ProgID="Visio.Drawing.15" ShapeID="_x0000_i1025" DrawAspect="Content" ObjectID="_1551886279" r:id="rId15"/>
        </w:object>
      </w:r>
    </w:p>
    <w:p w14:paraId="10A0C987" w14:textId="1B28E7DD" w:rsidR="00E453D4" w:rsidRDefault="008524D7" w:rsidP="008524D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3668">
        <w:rPr>
          <w:noProof/>
        </w:rPr>
        <w:t>1</w:t>
      </w:r>
      <w:r>
        <w:fldChar w:fldCharType="end"/>
      </w:r>
      <w:r>
        <w:t xml:space="preserve">: </w:t>
      </w:r>
      <w:r w:rsidR="004402DE">
        <w:t xml:space="preserve">SCG </w:t>
      </w:r>
      <w:r>
        <w:t>UP security in LTE DC</w:t>
      </w:r>
    </w:p>
    <w:p w14:paraId="006CCDC8" w14:textId="72608B03" w:rsidR="00E453D4" w:rsidRDefault="00E453D4" w:rsidP="00CE0424">
      <w:pPr>
        <w:pStyle w:val="BodyText"/>
      </w:pPr>
    </w:p>
    <w:p w14:paraId="4E3513E6" w14:textId="4A939F5D" w:rsidR="0087011E" w:rsidRDefault="008A1B5C" w:rsidP="00CE0424">
      <w:pPr>
        <w:pStyle w:val="BodyText"/>
      </w:pPr>
      <w:r>
        <w:t xml:space="preserve">On the other hand, </w:t>
      </w:r>
      <w:r w:rsidR="0097122B">
        <w:t xml:space="preserve">since </w:t>
      </w:r>
      <w:r>
        <w:t xml:space="preserve">RRC was terminated </w:t>
      </w:r>
      <w:r w:rsidR="0097122B">
        <w:t xml:space="preserve">only </w:t>
      </w:r>
      <w:r>
        <w:t xml:space="preserve">at the </w:t>
      </w:r>
      <w:r w:rsidR="005245C7">
        <w:t>MN</w:t>
      </w:r>
      <w:r w:rsidR="0097122B">
        <w:t xml:space="preserve"> in LTE DC</w:t>
      </w:r>
      <w:r>
        <w:t xml:space="preserve">, the security handling of RRC was not </w:t>
      </w:r>
      <w:r w:rsidR="00D40149">
        <w:t>changed from l</w:t>
      </w:r>
      <w:r>
        <w:t>egacy LTE</w:t>
      </w:r>
      <w:r w:rsidR="001F00D2">
        <w:t xml:space="preserve"> (i.e. UE will </w:t>
      </w:r>
      <w:r w:rsidR="00846D35">
        <w:t xml:space="preserve">get a security mode command from the </w:t>
      </w:r>
      <w:r w:rsidR="005245C7">
        <w:t>MN</w:t>
      </w:r>
      <w:r w:rsidR="00846D35">
        <w:t xml:space="preserve"> which indicates the algorithm to be used for the integrity protection of the CP messages as well as the ciphering algorithm</w:t>
      </w:r>
      <w:r w:rsidR="0087011E">
        <w:t>s</w:t>
      </w:r>
      <w:r w:rsidR="00846D35">
        <w:t xml:space="preserve"> for both CP and UP data)</w:t>
      </w:r>
      <w:r w:rsidR="001F00D2">
        <w:t xml:space="preserve">. </w:t>
      </w:r>
      <w:r w:rsidR="00846D35">
        <w:t>The derivation of K</w:t>
      </w:r>
      <w:r w:rsidR="00846D35" w:rsidRPr="00846D35">
        <w:rPr>
          <w:vertAlign w:val="subscript"/>
        </w:rPr>
        <w:t>RRCenc</w:t>
      </w:r>
      <w:r w:rsidR="00846D35">
        <w:t xml:space="preserve"> and K</w:t>
      </w:r>
      <w:r w:rsidR="00846D35" w:rsidRPr="00846D35">
        <w:rPr>
          <w:vertAlign w:val="subscript"/>
        </w:rPr>
        <w:t>RRCint</w:t>
      </w:r>
      <w:r w:rsidR="00846D35">
        <w:t xml:space="preserve"> is </w:t>
      </w:r>
      <w:r w:rsidR="00D40149">
        <w:t xml:space="preserve">done in the same fashion as </w:t>
      </w:r>
      <w:r w:rsidR="00846D35">
        <w:t>that of K</w:t>
      </w:r>
      <w:r w:rsidR="00846D35">
        <w:rPr>
          <w:vertAlign w:val="subscript"/>
        </w:rPr>
        <w:t>UPenc</w:t>
      </w:r>
      <w:r w:rsidR="00846D35">
        <w:t xml:space="preserve"> </w:t>
      </w:r>
      <w:r w:rsidR="00D40149">
        <w:t xml:space="preserve">in that a </w:t>
      </w:r>
      <w:r w:rsidR="00846D35">
        <w:t xml:space="preserve">KDF (key derivation function) is used which takes </w:t>
      </w:r>
      <w:r w:rsidR="00D40149">
        <w:t xml:space="preserve">as an input </w:t>
      </w:r>
      <w:r w:rsidR="00846D35">
        <w:t>the K</w:t>
      </w:r>
      <w:r w:rsidR="00846D35">
        <w:rPr>
          <w:vertAlign w:val="subscript"/>
        </w:rPr>
        <w:t xml:space="preserve">eNB </w:t>
      </w:r>
      <w:r w:rsidR="00846D35">
        <w:t xml:space="preserve">and the </w:t>
      </w:r>
      <w:r w:rsidR="00D40149">
        <w:t xml:space="preserve">encryption/integrity -protection </w:t>
      </w:r>
      <w:r w:rsidR="00846D35">
        <w:t>algorithm</w:t>
      </w:r>
      <w:r w:rsidR="00D40149">
        <w:t>s</w:t>
      </w:r>
      <w:r w:rsidR="00846D35">
        <w:t xml:space="preserve"> to be used</w:t>
      </w:r>
      <w:r w:rsidR="00D40149">
        <w:t xml:space="preserve"> </w:t>
      </w:r>
      <w:r w:rsidR="00846D35">
        <w:t>(in the case of the LTE DC, the K</w:t>
      </w:r>
      <w:r w:rsidR="00846D35">
        <w:rPr>
          <w:vertAlign w:val="subscript"/>
        </w:rPr>
        <w:t xml:space="preserve">eNB </w:t>
      </w:r>
      <w:r w:rsidR="00846D35">
        <w:t xml:space="preserve">used is that of the </w:t>
      </w:r>
      <w:r w:rsidR="005245C7">
        <w:t>MN</w:t>
      </w:r>
      <w:r w:rsidR="00846D35">
        <w:t xml:space="preserve">). </w:t>
      </w:r>
      <w:r w:rsidR="0087011E">
        <w:t xml:space="preserve"> </w:t>
      </w:r>
    </w:p>
    <w:p w14:paraId="65883FF1" w14:textId="71A65075" w:rsidR="00282805" w:rsidRDefault="0087011E" w:rsidP="00CE0424">
      <w:pPr>
        <w:pStyle w:val="BodyText"/>
      </w:pPr>
      <w:r>
        <w:t xml:space="preserve">With </w:t>
      </w:r>
      <w:r w:rsidR="001F00D2">
        <w:t xml:space="preserve">the introduction of direct SRB from the </w:t>
      </w:r>
      <w:r w:rsidR="005245C7">
        <w:t>SN</w:t>
      </w:r>
      <w:r w:rsidR="001F00D2">
        <w:t xml:space="preserve"> as per the agreements of RAN2#97</w:t>
      </w:r>
      <w:r w:rsidR="008A1B5C">
        <w:t>,</w:t>
      </w:r>
      <w:r w:rsidR="001F00D2">
        <w:t xml:space="preserve"> </w:t>
      </w:r>
      <w:r>
        <w:t xml:space="preserve">CP message can now be communicated directly between the UE and </w:t>
      </w:r>
      <w:r w:rsidR="005245C7">
        <w:t>SN</w:t>
      </w:r>
      <w:r w:rsidR="00282805">
        <w:t xml:space="preserve">. An LS notifying SA3 about this agreement and that they should consider it in their work has been sent out [3]. </w:t>
      </w:r>
    </w:p>
    <w:p w14:paraId="3E92D0E8" w14:textId="07F1D143" w:rsidR="00D40149" w:rsidRDefault="00282805" w:rsidP="00CE0424">
      <w:pPr>
        <w:pStyle w:val="BodyText"/>
      </w:pPr>
      <w:r>
        <w:t xml:space="preserve">The impact of this agreement in direct SRB is that the </w:t>
      </w:r>
      <w:r w:rsidR="0087011E">
        <w:t>K</w:t>
      </w:r>
      <w:r w:rsidR="0087011E" w:rsidRPr="00846D35">
        <w:rPr>
          <w:vertAlign w:val="subscript"/>
        </w:rPr>
        <w:t>RRCenc</w:t>
      </w:r>
      <w:r w:rsidR="0087011E">
        <w:t xml:space="preserve"> and K</w:t>
      </w:r>
      <w:r w:rsidR="0087011E" w:rsidRPr="00846D35">
        <w:rPr>
          <w:vertAlign w:val="subscript"/>
        </w:rPr>
        <w:t>RRCint</w:t>
      </w:r>
      <w:r w:rsidR="0087011E">
        <w:rPr>
          <w:vertAlign w:val="subscript"/>
        </w:rPr>
        <w:t xml:space="preserve"> </w:t>
      </w:r>
      <w:r w:rsidR="0087011E">
        <w:t xml:space="preserve">to be used for this purpose have to be derived </w:t>
      </w:r>
      <w:r>
        <w:t xml:space="preserve">both </w:t>
      </w:r>
      <w:r w:rsidR="0087011E">
        <w:t xml:space="preserve">at </w:t>
      </w:r>
      <w:r w:rsidR="003B169B">
        <w:t>t</w:t>
      </w:r>
      <w:r w:rsidR="0087011E">
        <w:t xml:space="preserve">he UE and </w:t>
      </w:r>
      <w:r w:rsidR="005245C7">
        <w:t>SN</w:t>
      </w:r>
      <w:r w:rsidR="0087011E">
        <w:t xml:space="preserve">. Figure 2 illustrates </w:t>
      </w:r>
      <w:r>
        <w:t xml:space="preserve">a possible </w:t>
      </w:r>
      <w:r w:rsidR="0087011E">
        <w:t xml:space="preserve">security setup procedure in the case where we have direct SRB from the </w:t>
      </w:r>
      <w:r w:rsidR="005245C7">
        <w:t>SN</w:t>
      </w:r>
      <w:r w:rsidR="0087011E">
        <w:t xml:space="preserve">. </w:t>
      </w:r>
    </w:p>
    <w:p w14:paraId="49E13FFC" w14:textId="370BE564" w:rsidR="0087011E" w:rsidRDefault="007F3668" w:rsidP="00CE0424">
      <w:pPr>
        <w:pStyle w:val="BodyText"/>
      </w:pPr>
      <w:r>
        <w:t>The difference from Figure</w:t>
      </w:r>
      <w:r w:rsidR="00D40149">
        <w:t xml:space="preserve"> 1</w:t>
      </w:r>
      <w:r>
        <w:t xml:space="preserve"> is that the </w:t>
      </w:r>
      <w:r w:rsidR="005245C7">
        <w:t>SN</w:t>
      </w:r>
      <w:r>
        <w:t xml:space="preserve"> now uses the S-</w:t>
      </w:r>
      <w:r w:rsidR="00394D28">
        <w:t>K</w:t>
      </w:r>
      <w:r w:rsidR="00394D28">
        <w:rPr>
          <w:vertAlign w:val="subscript"/>
        </w:rPr>
        <w:t>eNB</w:t>
      </w:r>
      <w:r>
        <w:t xml:space="preserve"> to derive the </w:t>
      </w:r>
      <w:r w:rsidR="00394D28">
        <w:t>K</w:t>
      </w:r>
      <w:r w:rsidR="00394D28">
        <w:rPr>
          <w:vertAlign w:val="subscript"/>
        </w:rPr>
        <w:t>RRCenc</w:t>
      </w:r>
      <w:r w:rsidR="00394D28" w:rsidRPr="00394D28">
        <w:t xml:space="preserve"> </w:t>
      </w:r>
      <w:r w:rsidR="00394D28">
        <w:t>and K</w:t>
      </w:r>
      <w:r w:rsidR="00394D28">
        <w:rPr>
          <w:vertAlign w:val="subscript"/>
        </w:rPr>
        <w:t>RRCint</w:t>
      </w:r>
      <w:r w:rsidR="00394D28">
        <w:t>, the algorithms used for the</w:t>
      </w:r>
      <w:r w:rsidR="00E55CB8">
        <w:t xml:space="preserve"> encryption (alg-1, which is the same for both UP and RRC) and integrity protection (alg-2, only for RRC) </w:t>
      </w:r>
      <w:r w:rsidR="00394D28">
        <w:t xml:space="preserve">are passed to the UE via the </w:t>
      </w:r>
      <w:r w:rsidR="005245C7">
        <w:t>MN</w:t>
      </w:r>
      <w:r w:rsidR="00E55CB8">
        <w:t>. T</w:t>
      </w:r>
      <w:r w:rsidR="00394D28">
        <w:t xml:space="preserve">he UE derives </w:t>
      </w:r>
      <w:r w:rsidR="00E55CB8">
        <w:t>K</w:t>
      </w:r>
      <w:r w:rsidR="00E55CB8">
        <w:rPr>
          <w:vertAlign w:val="subscript"/>
        </w:rPr>
        <w:t>RRCenc</w:t>
      </w:r>
      <w:r w:rsidR="00E55CB8" w:rsidRPr="00394D28">
        <w:t xml:space="preserve"> </w:t>
      </w:r>
      <w:r w:rsidR="00E55CB8">
        <w:t>and K</w:t>
      </w:r>
      <w:r w:rsidR="00E55CB8">
        <w:rPr>
          <w:vertAlign w:val="subscript"/>
        </w:rPr>
        <w:t>RRCint</w:t>
      </w:r>
      <w:r w:rsidR="00E55CB8">
        <w:t xml:space="preserve">, </w:t>
      </w:r>
      <w:r w:rsidR="00EE37A0">
        <w:t>based on the received input</w:t>
      </w:r>
      <w:r w:rsidR="00394D28">
        <w:t>. Afterwards, RRC messages are fir</w:t>
      </w:r>
      <w:r w:rsidR="00D40149">
        <w:t>st integrity protected</w:t>
      </w:r>
      <w:r w:rsidR="00394D28">
        <w:t xml:space="preserve"> and then encrypted before being sent (and the reverse process, i.e. decryption and then integrity verification, is performed at the receiving end).</w:t>
      </w:r>
    </w:p>
    <w:p w14:paraId="05878DAC" w14:textId="77777777" w:rsidR="0087011E" w:rsidRDefault="0087011E" w:rsidP="00CE0424">
      <w:pPr>
        <w:pStyle w:val="BodyText"/>
      </w:pPr>
    </w:p>
    <w:p w14:paraId="5DE1EE02" w14:textId="43CC292A" w:rsidR="007F3668" w:rsidRDefault="00E74440" w:rsidP="007F3668">
      <w:pPr>
        <w:pStyle w:val="BodyText"/>
        <w:keepNext/>
      </w:pPr>
      <w:r>
        <w:object w:dxaOrig="10635" w:dyaOrig="10770" w14:anchorId="4E48BBD1">
          <v:shape id="_x0000_i1026" type="#_x0000_t75" style="width:481.5pt;height:488.25pt" o:ole="">
            <v:imagedata r:id="rId16" o:title=""/>
          </v:shape>
          <o:OLEObject Type="Embed" ProgID="Visio.Drawing.15" ShapeID="_x0000_i1026" DrawAspect="Content" ObjectID="_1551886280" r:id="rId17"/>
        </w:object>
      </w:r>
    </w:p>
    <w:p w14:paraId="7ACC00CE" w14:textId="790CFA51" w:rsidR="0087011E" w:rsidRDefault="007F3668" w:rsidP="007F366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SCG security (UP and direct SRB)</w:t>
      </w:r>
    </w:p>
    <w:p w14:paraId="47E04F1E" w14:textId="7940EFB6" w:rsidR="00394D28" w:rsidRDefault="00394D28" w:rsidP="00CE0424">
      <w:pPr>
        <w:pStyle w:val="BodyText"/>
      </w:pPr>
      <w:r>
        <w:t>The procedure shown above is equivalent to the RRC security setup in legacy LTE, except for the usage of S-K</w:t>
      </w:r>
      <w:r>
        <w:rPr>
          <w:vertAlign w:val="subscript"/>
        </w:rPr>
        <w:t>eNB</w:t>
      </w:r>
      <w:r>
        <w:t xml:space="preserve"> instead of the K</w:t>
      </w:r>
      <w:r>
        <w:rPr>
          <w:vertAlign w:val="subscript"/>
        </w:rPr>
        <w:t>eNB</w:t>
      </w:r>
      <w:r>
        <w:t xml:space="preserve">. </w:t>
      </w:r>
      <w:r w:rsidR="00FC3A0F">
        <w:t>It should be noted t</w:t>
      </w:r>
      <w:r w:rsidR="00FC3A0F" w:rsidRPr="00FC3A0F">
        <w:t xml:space="preserve">hat the </w:t>
      </w:r>
      <w:r w:rsidR="006530AE">
        <w:t xml:space="preserve">RRC signalling between the </w:t>
      </w:r>
      <w:r w:rsidR="005245C7">
        <w:t>MN</w:t>
      </w:r>
      <w:r w:rsidR="006530AE">
        <w:t xml:space="preserve"> and UE is</w:t>
      </w:r>
      <w:r w:rsidR="00FC3A0F" w:rsidRPr="00FC3A0F">
        <w:t xml:space="preserve"> not affected by this.</w:t>
      </w:r>
    </w:p>
    <w:p w14:paraId="68B7A77B" w14:textId="77777777" w:rsidR="00394D28" w:rsidRDefault="00394D28" w:rsidP="00CE0424">
      <w:pPr>
        <w:pStyle w:val="BodyText"/>
      </w:pPr>
    </w:p>
    <w:p w14:paraId="5724CB63" w14:textId="600B25AD" w:rsidR="00287838" w:rsidRPr="00A061F9" w:rsidRDefault="00394D28" w:rsidP="00414483">
      <w:pPr>
        <w:pStyle w:val="Proposal"/>
        <w:tabs>
          <w:tab w:val="clear" w:pos="1304"/>
          <w:tab w:val="num" w:pos="1701"/>
        </w:tabs>
        <w:ind w:left="1701" w:hanging="1701"/>
        <w:rPr>
          <w:noProof/>
          <w:lang w:val="en-US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A061F9">
        <w:rPr>
          <w:noProof/>
          <w:lang w:val="en-US"/>
        </w:rPr>
        <w:t>For the case of LTE-NR tight interwork</w:t>
      </w:r>
      <w:r w:rsidR="0097122B" w:rsidRPr="00A061F9">
        <w:rPr>
          <w:noProof/>
          <w:lang w:val="en-US"/>
        </w:rPr>
        <w:t xml:space="preserve">ing where a direct </w:t>
      </w:r>
      <w:r w:rsidR="00E10E0B" w:rsidRPr="00A061F9">
        <w:rPr>
          <w:noProof/>
          <w:lang w:val="en-US"/>
        </w:rPr>
        <w:t>SRB</w:t>
      </w:r>
      <w:r w:rsidR="0097122B" w:rsidRPr="00A061F9">
        <w:rPr>
          <w:noProof/>
          <w:lang w:val="en-US"/>
        </w:rPr>
        <w:t xml:space="preserve"> is </w:t>
      </w:r>
      <w:r w:rsidRPr="00A061F9">
        <w:rPr>
          <w:noProof/>
          <w:lang w:val="en-US"/>
        </w:rPr>
        <w:t xml:space="preserve">configured between the UE and </w:t>
      </w:r>
      <w:r w:rsidR="005245C7" w:rsidRPr="00A061F9">
        <w:rPr>
          <w:noProof/>
          <w:lang w:val="en-US"/>
        </w:rPr>
        <w:t>SN</w:t>
      </w:r>
      <w:r w:rsidRPr="00A061F9">
        <w:rPr>
          <w:noProof/>
          <w:lang w:val="en-US"/>
        </w:rPr>
        <w:t xml:space="preserve">, </w:t>
      </w:r>
      <w:r w:rsidR="0097122B" w:rsidRPr="00A061F9">
        <w:rPr>
          <w:noProof/>
          <w:lang w:val="en-US"/>
        </w:rPr>
        <w:t xml:space="preserve">an approach like the </w:t>
      </w:r>
      <w:r w:rsidRPr="00A061F9">
        <w:rPr>
          <w:noProof/>
          <w:lang w:val="en-US"/>
        </w:rPr>
        <w:t>RRC security setup in legacy LTE</w:t>
      </w:r>
      <w:r w:rsidR="0097122B" w:rsidRPr="00A061F9">
        <w:rPr>
          <w:noProof/>
          <w:lang w:val="en-US"/>
        </w:rPr>
        <w:t xml:space="preserve"> </w:t>
      </w:r>
      <w:r w:rsidR="00EE37A0" w:rsidRPr="00A061F9">
        <w:rPr>
          <w:noProof/>
          <w:lang w:val="en-US"/>
        </w:rPr>
        <w:t>could be used</w:t>
      </w:r>
      <w:r w:rsidRPr="00A061F9">
        <w:rPr>
          <w:noProof/>
          <w:lang w:val="en-US"/>
        </w:rPr>
        <w:t>, where the S-KeNB is employed instead of the K</w:t>
      </w:r>
      <w:r w:rsidR="00D40149" w:rsidRPr="00A061F9">
        <w:rPr>
          <w:noProof/>
          <w:lang w:val="en-US"/>
        </w:rPr>
        <w:t>eNB</w:t>
      </w:r>
      <w:r w:rsidRPr="00A061F9">
        <w:rPr>
          <w:noProof/>
          <w:lang w:val="en-US"/>
        </w:rPr>
        <w:t xml:space="preserve">. </w:t>
      </w:r>
      <w:bookmarkEnd w:id="1"/>
      <w:bookmarkEnd w:id="2"/>
      <w:bookmarkEnd w:id="3"/>
      <w:bookmarkEnd w:id="4"/>
      <w:bookmarkEnd w:id="5"/>
    </w:p>
    <w:p w14:paraId="5F7C5F7E" w14:textId="2D893C7D" w:rsidR="00D40149" w:rsidRDefault="00D40149" w:rsidP="00D40149">
      <w:pPr>
        <w:pStyle w:val="Proposal"/>
        <w:numPr>
          <w:ilvl w:val="0"/>
          <w:numId w:val="0"/>
        </w:numPr>
      </w:pPr>
    </w:p>
    <w:p w14:paraId="7EAD795F" w14:textId="7802E045" w:rsidR="003B169B" w:rsidRDefault="00CB05E4" w:rsidP="003B169B">
      <w:pPr>
        <w:pStyle w:val="BodyText"/>
      </w:pPr>
      <w:r>
        <w:t>Th</w:t>
      </w:r>
      <w:r w:rsidR="006530AE">
        <w:t xml:space="preserve">us, from the RAN point of view, </w:t>
      </w:r>
      <w:r w:rsidR="00E10E0B">
        <w:t xml:space="preserve">only one of the </w:t>
      </w:r>
      <w:r w:rsidR="00914130">
        <w:t>parameters used in</w:t>
      </w:r>
      <w:r w:rsidR="00E10E0B">
        <w:t xml:space="preserve"> the </w:t>
      </w:r>
      <w:r w:rsidR="00914130">
        <w:t xml:space="preserve">RRC encryption and integrity protection </w:t>
      </w:r>
      <w:r w:rsidR="00E10E0B">
        <w:t xml:space="preserve">key </w:t>
      </w:r>
      <w:r w:rsidR="00914130">
        <w:t xml:space="preserve">derivations </w:t>
      </w:r>
      <w:r w:rsidR="00414483">
        <w:t>should</w:t>
      </w:r>
      <w:r w:rsidR="00914130">
        <w:t xml:space="preserve"> be changed.</w:t>
      </w:r>
      <w:r w:rsidR="006530AE">
        <w:t xml:space="preserve"> However, a</w:t>
      </w:r>
      <w:r>
        <w:t xml:space="preserve">ny security implications of adopting such a procedure should be investigated by SA3. </w:t>
      </w:r>
      <w:r w:rsidR="004F5E6E">
        <w:t>A</w:t>
      </w:r>
      <w:r w:rsidR="003B169B">
        <w:t>s we have discussed in detail in [4], the direct SRB is an optional feature</w:t>
      </w:r>
      <w:r w:rsidR="004F5E6E">
        <w:t xml:space="preserve"> which potentially should support only a subset of all the possible RRC signalling. It is important to have an agreement on this (i.e. which RRC functionalities/messages are supported by the direct SRB) as the security implications of all the RRC </w:t>
      </w:r>
      <w:r w:rsidR="00D43769">
        <w:t>procedures</w:t>
      </w:r>
      <w:r w:rsidR="004F5E6E">
        <w:t xml:space="preserve"> are not the same. </w:t>
      </w:r>
      <w:r w:rsidR="00305D64">
        <w:t xml:space="preserve">That is, </w:t>
      </w:r>
      <w:r w:rsidR="000D2EAA">
        <w:t>the more CP functionalities the SN</w:t>
      </w:r>
      <w:r w:rsidR="00305D64">
        <w:t xml:space="preserve"> </w:t>
      </w:r>
      <w:r w:rsidR="00414483">
        <w:t>can perform</w:t>
      </w:r>
      <w:r w:rsidR="00305D64">
        <w:t xml:space="preserve"> independently of the M</w:t>
      </w:r>
      <w:r w:rsidR="004F5E6E">
        <w:t xml:space="preserve">N </w:t>
      </w:r>
      <w:r w:rsidR="00305D64">
        <w:t>via the direct SRB, the more vulnerable the security of the network will be</w:t>
      </w:r>
      <w:r w:rsidR="000D2EAA">
        <w:t xml:space="preserve"> in case the SN becomes co</w:t>
      </w:r>
      <w:bookmarkStart w:id="6" w:name="_GoBack"/>
      <w:bookmarkEnd w:id="6"/>
      <w:r w:rsidR="000D2EAA">
        <w:t>mpromised or tampered with</w:t>
      </w:r>
      <w:r w:rsidR="00305D64">
        <w:t xml:space="preserve">. </w:t>
      </w:r>
    </w:p>
    <w:p w14:paraId="6438F3EB" w14:textId="1C70EB2D" w:rsidR="00CB05E4" w:rsidRPr="00D02336" w:rsidRDefault="00CB05E4" w:rsidP="00D0233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Thus, we propose:</w:t>
      </w:r>
      <w:r>
        <w:fldChar w:fldCharType="begin"/>
      </w:r>
      <w:r>
        <w:instrText xml:space="preserve"> TOC \f \n \p " " \t "Proposal;1" </w:instrText>
      </w:r>
      <w:r>
        <w:fldChar w:fldCharType="separate"/>
      </w:r>
    </w:p>
    <w:p w14:paraId="3D21F63B" w14:textId="7629ED00" w:rsidR="003C6C9D" w:rsidRDefault="00CB05E4" w:rsidP="00CB05E4">
      <w:pPr>
        <w:pStyle w:val="TOC1"/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RAN2 to </w:t>
      </w:r>
      <w:r w:rsidR="00305D64">
        <w:t xml:space="preserve">discuss </w:t>
      </w:r>
      <w:r w:rsidR="00414483">
        <w:t>and decide the RRC functionalities/messages</w:t>
      </w:r>
      <w:r w:rsidR="00305D64">
        <w:t xml:space="preserve"> to be supported by </w:t>
      </w:r>
      <w:r w:rsidR="00414483">
        <w:t xml:space="preserve">a </w:t>
      </w:r>
      <w:r w:rsidR="00305D64">
        <w:t>direct SRB</w:t>
      </w:r>
      <w:r w:rsidR="00414483">
        <w:t xml:space="preserve"> between the UE and the SN.</w:t>
      </w:r>
    </w:p>
    <w:p w14:paraId="77F276C7" w14:textId="4CCD3948" w:rsidR="00CB05E4" w:rsidRPr="00DB0A9F" w:rsidRDefault="003C6C9D" w:rsidP="00CB05E4">
      <w:pPr>
        <w:pStyle w:val="TOC1"/>
        <w:rPr>
          <w:rFonts w:ascii="Calibri" w:eastAsia="SimSun" w:hAnsi="Calibri"/>
          <w:b w:val="0"/>
          <w:sz w:val="22"/>
        </w:rPr>
      </w:pPr>
      <w:r>
        <w:t>Proposal 2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RAN2 to </w:t>
      </w:r>
      <w:r w:rsidR="009A1103" w:rsidRPr="009A1103">
        <w:t>send an LS to SA3 asking to investigate the secu</w:t>
      </w:r>
      <w:r w:rsidR="00305D64">
        <w:t>rity implications of adopting the legacy</w:t>
      </w:r>
      <w:r w:rsidR="009A1103" w:rsidRPr="009A1103">
        <w:t xml:space="preserve"> RRC security setup procedure</w:t>
      </w:r>
      <w:r w:rsidR="00305D64">
        <w:t xml:space="preserve"> using the S-KeNB as the key instead of the KeNB</w:t>
      </w:r>
      <w:r w:rsidR="009A1103" w:rsidRPr="009A1103">
        <w:t xml:space="preserve">, for a direct </w:t>
      </w:r>
      <w:r w:rsidR="00414483">
        <w:t>SRB sign</w:t>
      </w:r>
      <w:r w:rsidR="00E55CB8">
        <w:t>a</w:t>
      </w:r>
      <w:r w:rsidR="00414483">
        <w:t>l</w:t>
      </w:r>
      <w:r w:rsidR="00D43769">
        <w:t>l</w:t>
      </w:r>
      <w:r w:rsidR="00414483">
        <w:t>ing between the</w:t>
      </w:r>
      <w:r w:rsidR="009A1103" w:rsidRPr="009A1103">
        <w:t xml:space="preserve"> UE and </w:t>
      </w:r>
      <w:r w:rsidR="005245C7">
        <w:t>SN</w:t>
      </w:r>
      <w:r w:rsidR="009A1103" w:rsidRPr="009A1103">
        <w:t xml:space="preserve"> </w:t>
      </w:r>
      <w:r w:rsidR="00414483">
        <w:t xml:space="preserve">supporting the agreed upon RRC functionalities/messages. </w:t>
      </w:r>
    </w:p>
    <w:p w14:paraId="686CDDE6" w14:textId="2BC3AC87" w:rsidR="00CB05E4" w:rsidRDefault="00CB05E4" w:rsidP="00CB05E4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  <w:bCs w:val="0"/>
        </w:rPr>
        <w:fldChar w:fldCharType="end"/>
      </w: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9BECEE6" w14:textId="02F548E9" w:rsidR="00394D28" w:rsidRDefault="00394D28" w:rsidP="00311702">
      <w:r>
        <w:t xml:space="preserve">In RAN2#97, it was agreed to adopt direct SRB from the </w:t>
      </w:r>
      <w:r w:rsidR="005245C7">
        <w:t>SN</w:t>
      </w:r>
      <w:r>
        <w:t>. In this contribution, we have describ</w:t>
      </w:r>
      <w:r w:rsidR="006530AE">
        <w:t xml:space="preserve">ed how the RRC security setup could </w:t>
      </w:r>
      <w:r>
        <w:t>be handled for such direct SRB(s) and we</w:t>
      </w:r>
      <w:r w:rsidR="006530AE">
        <w:t xml:space="preserve"> </w:t>
      </w:r>
      <w:r w:rsidR="00414483">
        <w:t xml:space="preserve">have </w:t>
      </w:r>
      <w:r w:rsidR="006530AE">
        <w:t>observed</w:t>
      </w:r>
      <w:r>
        <w:t>:</w:t>
      </w:r>
    </w:p>
    <w:p w14:paraId="5A5E4F4E" w14:textId="77777777" w:rsidR="00414483" w:rsidRDefault="00414483" w:rsidP="00414483">
      <w:pPr>
        <w:pStyle w:val="BodyText"/>
      </w:pPr>
    </w:p>
    <w:p w14:paraId="6F155CA4" w14:textId="77777777" w:rsidR="00414483" w:rsidRPr="00414483" w:rsidRDefault="00414483" w:rsidP="00414483">
      <w:pPr>
        <w:pStyle w:val="Proposal"/>
        <w:numPr>
          <w:ilvl w:val="0"/>
          <w:numId w:val="20"/>
        </w:numPr>
        <w:tabs>
          <w:tab w:val="clear" w:pos="1304"/>
          <w:tab w:val="num" w:pos="1701"/>
        </w:tabs>
        <w:ind w:left="1701" w:hanging="1701"/>
        <w:rPr>
          <w:bCs w:val="0"/>
          <w:noProof/>
          <w:szCs w:val="22"/>
          <w:lang w:val="en-US"/>
        </w:rPr>
      </w:pPr>
      <w:r w:rsidRPr="00414483">
        <w:rPr>
          <w:bCs w:val="0"/>
          <w:noProof/>
          <w:szCs w:val="22"/>
          <w:lang w:val="en-US"/>
        </w:rPr>
        <w:t xml:space="preserve">For the case of LTE-NR tight interworking where a direct SRB is configured between the UE and SN, an approach like the RRC security setup in legacy LTE could be used, where the S-KeNB is employed instead of the KeNB. </w:t>
      </w:r>
    </w:p>
    <w:p w14:paraId="2D7D344F" w14:textId="77777777" w:rsidR="00414483" w:rsidRDefault="00414483" w:rsidP="00414483">
      <w:pPr>
        <w:pStyle w:val="Proposal"/>
        <w:numPr>
          <w:ilvl w:val="0"/>
          <w:numId w:val="0"/>
        </w:numPr>
        <w:rPr>
          <w:b w:val="0"/>
        </w:rPr>
      </w:pPr>
    </w:p>
    <w:p w14:paraId="0CD68633" w14:textId="7E7C91C5" w:rsidR="00414483" w:rsidRDefault="00414483" w:rsidP="00414483">
      <w:pPr>
        <w:pStyle w:val="Proposal"/>
        <w:numPr>
          <w:ilvl w:val="0"/>
          <w:numId w:val="0"/>
        </w:numPr>
        <w:rPr>
          <w:noProof/>
        </w:rPr>
      </w:pPr>
      <w:r>
        <w:rPr>
          <w:b w:val="0"/>
        </w:rPr>
        <w:t>Thus, we propose:</w:t>
      </w:r>
      <w:r>
        <w:fldChar w:fldCharType="begin"/>
      </w:r>
      <w:r>
        <w:instrText xml:space="preserve"> TOC \f \n \p " " \t "Proposal;1" </w:instrText>
      </w:r>
      <w:r>
        <w:fldChar w:fldCharType="separate"/>
      </w:r>
    </w:p>
    <w:p w14:paraId="1CE708C7" w14:textId="77777777" w:rsidR="00414483" w:rsidRDefault="00414483" w:rsidP="00414483">
      <w:pPr>
        <w:pStyle w:val="TOC1"/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>
        <w:t>RAN2 to discuss and decide the RRC functionalities/messages to be supported by a direct SRB between the UE and the SN.</w:t>
      </w:r>
    </w:p>
    <w:p w14:paraId="66488140" w14:textId="4996CDE6" w:rsidR="00414483" w:rsidRPr="00DB0A9F" w:rsidRDefault="00414483" w:rsidP="00414483">
      <w:pPr>
        <w:pStyle w:val="TOC1"/>
        <w:rPr>
          <w:rFonts w:ascii="Calibri" w:eastAsia="SimSun" w:hAnsi="Calibri"/>
          <w:b w:val="0"/>
          <w:sz w:val="22"/>
        </w:rPr>
      </w:pPr>
      <w:r>
        <w:t>Proposal 2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RAN2 to </w:t>
      </w:r>
      <w:r w:rsidRPr="009A1103">
        <w:t>send an LS to SA3 asking to investigate the secu</w:t>
      </w:r>
      <w:r>
        <w:t>rity implications of adopting the legacy</w:t>
      </w:r>
      <w:r w:rsidRPr="009A1103">
        <w:t xml:space="preserve"> RRC security setup procedure</w:t>
      </w:r>
      <w:r>
        <w:t xml:space="preserve"> using the S-KeNB as the key instead of the KeNB</w:t>
      </w:r>
      <w:r w:rsidRPr="009A1103">
        <w:t xml:space="preserve">, for a direct </w:t>
      </w:r>
      <w:r>
        <w:t>SRB sig</w:t>
      </w:r>
      <w:r w:rsidR="00E55CB8">
        <w:t>na</w:t>
      </w:r>
      <w:r w:rsidR="00D43769">
        <w:t>l</w:t>
      </w:r>
      <w:r>
        <w:t>ling between the</w:t>
      </w:r>
      <w:r w:rsidRPr="009A1103">
        <w:t xml:space="preserve"> UE and </w:t>
      </w:r>
      <w:r>
        <w:t>SN</w:t>
      </w:r>
      <w:r w:rsidRPr="009A1103">
        <w:t xml:space="preserve"> </w:t>
      </w:r>
      <w:r>
        <w:t xml:space="preserve">supporting the agreed upon RRC functionalities/messages. </w:t>
      </w:r>
    </w:p>
    <w:p w14:paraId="01D915D0" w14:textId="06934E9E" w:rsidR="00394D28" w:rsidRDefault="00414483" w:rsidP="00414483">
      <w:r>
        <w:rPr>
          <w:b/>
          <w:bCs/>
        </w:rPr>
        <w:fldChar w:fldCharType="end"/>
      </w:r>
    </w:p>
    <w:p w14:paraId="0B366EDE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34FF67A4" w14:textId="77777777" w:rsidR="0097122B" w:rsidRDefault="0097122B" w:rsidP="00311702">
      <w:pPr>
        <w:pStyle w:val="Reference"/>
      </w:pPr>
      <w:bookmarkStart w:id="8" w:name="_Ref174151459"/>
      <w:bookmarkStart w:id="9" w:name="_Ref189809556"/>
      <w:r>
        <w:t>3GPP TS 36.300, “E-UTRA and E-UTRAN: Overall description”</w:t>
      </w:r>
    </w:p>
    <w:p w14:paraId="3D155731" w14:textId="0153A4B6" w:rsidR="0097122B" w:rsidRDefault="0097122B" w:rsidP="003F0AFE">
      <w:pPr>
        <w:pStyle w:val="Reference"/>
      </w:pPr>
      <w:r>
        <w:t>3GPP TS 33.401, “3GPP System Architecture Evolution (SAE): Security architecture”</w:t>
      </w:r>
      <w:bookmarkEnd w:id="8"/>
      <w:bookmarkEnd w:id="9"/>
    </w:p>
    <w:p w14:paraId="00E27878" w14:textId="141E623D" w:rsidR="00282805" w:rsidRDefault="00282805" w:rsidP="003F0AFE">
      <w:pPr>
        <w:pStyle w:val="Reference"/>
      </w:pPr>
      <w:r>
        <w:t>R2-1702442, “LS on security in E-UTRA-NR Dual connectivity”, RAN2#97, Feb 2017</w:t>
      </w:r>
    </w:p>
    <w:p w14:paraId="6CAB86C3" w14:textId="5A2F40A0" w:rsidR="00A061F9" w:rsidRDefault="00A061F9" w:rsidP="00A061F9">
      <w:pPr>
        <w:pStyle w:val="Reference"/>
      </w:pPr>
      <w:r w:rsidRPr="00A061F9">
        <w:t>R2-1702705</w:t>
      </w:r>
      <w:r>
        <w:t>, “</w:t>
      </w:r>
      <w:r w:rsidRPr="00A061F9">
        <w:t>SCG SRB configuration and use in LTE-NR interworking</w:t>
      </w:r>
      <w:r>
        <w:t>”, RAN2 #97bis, Ericsson</w:t>
      </w:r>
    </w:p>
    <w:sectPr w:rsidR="00A061F9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96ECC" w14:textId="77777777" w:rsidR="00854F97" w:rsidRDefault="00854F97">
      <w:r>
        <w:separator/>
      </w:r>
    </w:p>
  </w:endnote>
  <w:endnote w:type="continuationSeparator" w:id="0">
    <w:p w14:paraId="369BC6B7" w14:textId="77777777" w:rsidR="00854F97" w:rsidRDefault="0085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02829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233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233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F489C" w14:textId="77777777" w:rsidR="00854F97" w:rsidRDefault="00854F97">
      <w:r>
        <w:separator/>
      </w:r>
    </w:p>
  </w:footnote>
  <w:footnote w:type="continuationSeparator" w:id="0">
    <w:p w14:paraId="60E7E941" w14:textId="77777777" w:rsidR="00854F97" w:rsidRDefault="0085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66233A4F" w:rsidR="00920BF2" w:rsidRPr="00414483" w:rsidRDefault="00920BF2" w:rsidP="004144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599E55D8"/>
    <w:lvl w:ilvl="0" w:tplc="5718A4CA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14852"/>
    <w:multiLevelType w:val="hybridMultilevel"/>
    <w:tmpl w:val="AF36210A"/>
    <w:lvl w:ilvl="0" w:tplc="3DE0052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5"/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088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EAA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00D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5D64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4D28"/>
    <w:rsid w:val="003A2223"/>
    <w:rsid w:val="003A2A0F"/>
    <w:rsid w:val="003A45A1"/>
    <w:rsid w:val="003A5B0A"/>
    <w:rsid w:val="003A6BAC"/>
    <w:rsid w:val="003A7EF3"/>
    <w:rsid w:val="003B159C"/>
    <w:rsid w:val="003B169B"/>
    <w:rsid w:val="003B369F"/>
    <w:rsid w:val="003B36A3"/>
    <w:rsid w:val="003B7FE5"/>
    <w:rsid w:val="003C11C8"/>
    <w:rsid w:val="003C2702"/>
    <w:rsid w:val="003C6C9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83"/>
    <w:rsid w:val="00421105"/>
    <w:rsid w:val="004242F4"/>
    <w:rsid w:val="00427248"/>
    <w:rsid w:val="00437447"/>
    <w:rsid w:val="004402DE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E6E"/>
    <w:rsid w:val="00506557"/>
    <w:rsid w:val="0050677A"/>
    <w:rsid w:val="005108D8"/>
    <w:rsid w:val="005116F9"/>
    <w:rsid w:val="005153A7"/>
    <w:rsid w:val="005219CF"/>
    <w:rsid w:val="005245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0A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C8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66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D35"/>
    <w:rsid w:val="00846FE7"/>
    <w:rsid w:val="008524D7"/>
    <w:rsid w:val="00854F97"/>
    <w:rsid w:val="00856911"/>
    <w:rsid w:val="008677FD"/>
    <w:rsid w:val="0087011E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B5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1E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130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22B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103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61F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91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AE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05E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509"/>
    <w:rsid w:val="00CE7561"/>
    <w:rsid w:val="00CF1354"/>
    <w:rsid w:val="00CF3B1F"/>
    <w:rsid w:val="00CF3BF6"/>
    <w:rsid w:val="00CF625B"/>
    <w:rsid w:val="00CF687E"/>
    <w:rsid w:val="00D0233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149"/>
    <w:rsid w:val="00D40B33"/>
    <w:rsid w:val="00D4318F"/>
    <w:rsid w:val="00D43769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B6D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0E0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3D4"/>
    <w:rsid w:val="00E46886"/>
    <w:rsid w:val="00E47AEF"/>
    <w:rsid w:val="00E53B75"/>
    <w:rsid w:val="00E54E3B"/>
    <w:rsid w:val="00E55CB8"/>
    <w:rsid w:val="00E56957"/>
    <w:rsid w:val="00E57565"/>
    <w:rsid w:val="00E63838"/>
    <w:rsid w:val="00E64434"/>
    <w:rsid w:val="00E67C51"/>
    <w:rsid w:val="00E72EFC"/>
    <w:rsid w:val="00E74440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37A0"/>
    <w:rsid w:val="00EF18FE"/>
    <w:rsid w:val="00EF3AA0"/>
    <w:rsid w:val="00EF5787"/>
    <w:rsid w:val="00EF60D0"/>
    <w:rsid w:val="00F0528D"/>
    <w:rsid w:val="00F06C67"/>
    <w:rsid w:val="00F06DFD"/>
    <w:rsid w:val="00F071D1"/>
    <w:rsid w:val="00F07533"/>
    <w:rsid w:val="00F10629"/>
    <w:rsid w:val="00F11876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A0F"/>
    <w:rsid w:val="00FC7429"/>
    <w:rsid w:val="00FD07F6"/>
    <w:rsid w:val="00FD1EC8"/>
    <w:rsid w:val="00FD47ED"/>
    <w:rsid w:val="00FD74DB"/>
    <w:rsid w:val="00FD7660"/>
    <w:rsid w:val="00FE018D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512BC48"/>
  <w15:docId w15:val="{48FD0D38-B2C4-4AD2-85EC-6B4143B9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835C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835C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835C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835C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835C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835C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835C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835C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835C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835C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35C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835C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835C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35C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835C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835C8"/>
    <w:pPr>
      <w:ind w:left="1418" w:hanging="1418"/>
    </w:pPr>
  </w:style>
  <w:style w:type="paragraph" w:styleId="TOC3">
    <w:name w:val="toc 3"/>
    <w:basedOn w:val="TOC2"/>
    <w:semiHidden/>
    <w:rsid w:val="006835C8"/>
    <w:pPr>
      <w:ind w:left="1134" w:hanging="1134"/>
    </w:pPr>
  </w:style>
  <w:style w:type="paragraph" w:styleId="TOC2">
    <w:name w:val="toc 2"/>
    <w:basedOn w:val="TOC1"/>
    <w:semiHidden/>
    <w:rsid w:val="006835C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835C8"/>
    <w:pPr>
      <w:ind w:left="284"/>
    </w:pPr>
  </w:style>
  <w:style w:type="paragraph" w:styleId="Index1">
    <w:name w:val="index 1"/>
    <w:basedOn w:val="Normal"/>
    <w:semiHidden/>
    <w:rsid w:val="006835C8"/>
    <w:pPr>
      <w:keepLines/>
      <w:spacing w:after="0"/>
    </w:pPr>
  </w:style>
  <w:style w:type="paragraph" w:styleId="DocumentMap">
    <w:name w:val="Document Map"/>
    <w:basedOn w:val="Normal"/>
    <w:semiHidden/>
    <w:rsid w:val="006835C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835C8"/>
    <w:pPr>
      <w:ind w:left="851"/>
    </w:pPr>
  </w:style>
  <w:style w:type="paragraph" w:styleId="ListNumber">
    <w:name w:val="List Number"/>
    <w:basedOn w:val="List"/>
    <w:rsid w:val="006835C8"/>
  </w:style>
  <w:style w:type="paragraph" w:styleId="List">
    <w:name w:val="List"/>
    <w:basedOn w:val="Normal"/>
    <w:rsid w:val="006835C8"/>
    <w:pPr>
      <w:ind w:left="568" w:hanging="284"/>
    </w:pPr>
  </w:style>
  <w:style w:type="paragraph" w:styleId="Header">
    <w:name w:val="header"/>
    <w:rsid w:val="006835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835C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835C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835C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835C8"/>
    <w:pPr>
      <w:ind w:left="1418" w:hanging="1418"/>
    </w:pPr>
  </w:style>
  <w:style w:type="paragraph" w:styleId="TOC6">
    <w:name w:val="toc 6"/>
    <w:basedOn w:val="TOC5"/>
    <w:next w:val="Normal"/>
    <w:semiHidden/>
    <w:rsid w:val="006835C8"/>
    <w:pPr>
      <w:ind w:left="1985" w:hanging="1985"/>
    </w:pPr>
  </w:style>
  <w:style w:type="paragraph" w:styleId="TOC7">
    <w:name w:val="toc 7"/>
    <w:basedOn w:val="TOC6"/>
    <w:next w:val="Normal"/>
    <w:semiHidden/>
    <w:rsid w:val="006835C8"/>
    <w:pPr>
      <w:ind w:left="2268" w:hanging="2268"/>
    </w:pPr>
  </w:style>
  <w:style w:type="paragraph" w:styleId="ListBullet2">
    <w:name w:val="List Bullet 2"/>
    <w:basedOn w:val="ListBullet"/>
    <w:rsid w:val="006835C8"/>
    <w:pPr>
      <w:numPr>
        <w:numId w:val="6"/>
      </w:numPr>
    </w:pPr>
  </w:style>
  <w:style w:type="paragraph" w:styleId="ListBullet">
    <w:name w:val="List Bullet"/>
    <w:basedOn w:val="BodyText"/>
    <w:rsid w:val="006835C8"/>
    <w:pPr>
      <w:numPr>
        <w:numId w:val="5"/>
      </w:numPr>
    </w:pPr>
  </w:style>
  <w:style w:type="paragraph" w:styleId="ListBullet3">
    <w:name w:val="List Bullet 3"/>
    <w:basedOn w:val="ListBullet2"/>
    <w:rsid w:val="006835C8"/>
    <w:pPr>
      <w:numPr>
        <w:numId w:val="7"/>
      </w:numPr>
    </w:pPr>
  </w:style>
  <w:style w:type="paragraph" w:customStyle="1" w:styleId="EQ">
    <w:name w:val="EQ"/>
    <w:basedOn w:val="Normal"/>
    <w:next w:val="Normal"/>
    <w:rsid w:val="006835C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835C8"/>
    <w:pPr>
      <w:ind w:left="851"/>
    </w:pPr>
  </w:style>
  <w:style w:type="paragraph" w:styleId="List3">
    <w:name w:val="List 3"/>
    <w:basedOn w:val="List2"/>
    <w:rsid w:val="006835C8"/>
    <w:pPr>
      <w:ind w:left="1135"/>
    </w:pPr>
  </w:style>
  <w:style w:type="paragraph" w:styleId="List4">
    <w:name w:val="List 4"/>
    <w:basedOn w:val="List3"/>
    <w:rsid w:val="006835C8"/>
    <w:pPr>
      <w:ind w:left="1418"/>
    </w:pPr>
  </w:style>
  <w:style w:type="paragraph" w:styleId="List5">
    <w:name w:val="List 5"/>
    <w:basedOn w:val="List4"/>
    <w:rsid w:val="006835C8"/>
    <w:pPr>
      <w:ind w:left="1702"/>
    </w:pPr>
  </w:style>
  <w:style w:type="paragraph" w:customStyle="1" w:styleId="EditorsNote">
    <w:name w:val="Editor's Note"/>
    <w:basedOn w:val="Normal"/>
    <w:rsid w:val="006835C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835C8"/>
    <w:pPr>
      <w:numPr>
        <w:numId w:val="8"/>
      </w:numPr>
    </w:pPr>
  </w:style>
  <w:style w:type="paragraph" w:styleId="ListBullet5">
    <w:name w:val="List Bullet 5"/>
    <w:basedOn w:val="ListBullet4"/>
    <w:rsid w:val="006835C8"/>
    <w:pPr>
      <w:numPr>
        <w:numId w:val="4"/>
      </w:numPr>
    </w:pPr>
  </w:style>
  <w:style w:type="paragraph" w:styleId="Footer">
    <w:name w:val="footer"/>
    <w:basedOn w:val="Header"/>
    <w:semiHidden/>
    <w:rsid w:val="006835C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835C8"/>
    <w:pPr>
      <w:numPr>
        <w:numId w:val="2"/>
      </w:numPr>
    </w:pPr>
  </w:style>
  <w:style w:type="paragraph" w:styleId="BalloonText">
    <w:name w:val="Balloon Text"/>
    <w:basedOn w:val="Normal"/>
    <w:semiHidden/>
    <w:rsid w:val="006835C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835C8"/>
  </w:style>
  <w:style w:type="paragraph" w:styleId="BodyText">
    <w:name w:val="Body Text"/>
    <w:basedOn w:val="Normal"/>
    <w:link w:val="BodyTextChar"/>
    <w:rsid w:val="006835C8"/>
  </w:style>
  <w:style w:type="character" w:styleId="Hyperlink">
    <w:name w:val="Hyperlink"/>
    <w:uiPriority w:val="99"/>
    <w:rsid w:val="006835C8"/>
    <w:rPr>
      <w:color w:val="0000FF"/>
      <w:u w:val="single"/>
      <w:lang w:val="en-GB"/>
    </w:rPr>
  </w:style>
  <w:style w:type="character" w:styleId="FollowedHyperlink">
    <w:name w:val="FollowedHyperlink"/>
    <w:semiHidden/>
    <w:rsid w:val="006835C8"/>
    <w:rPr>
      <w:color w:val="FF0000"/>
      <w:u w:val="single"/>
    </w:rPr>
  </w:style>
  <w:style w:type="character" w:styleId="CommentReference">
    <w:name w:val="annotation reference"/>
    <w:semiHidden/>
    <w:rsid w:val="006835C8"/>
    <w:rPr>
      <w:sz w:val="16"/>
      <w:szCs w:val="16"/>
    </w:rPr>
  </w:style>
  <w:style w:type="paragraph" w:styleId="CommentText">
    <w:name w:val="annotation text"/>
    <w:basedOn w:val="Normal"/>
    <w:semiHidden/>
    <w:rsid w:val="006835C8"/>
  </w:style>
  <w:style w:type="paragraph" w:styleId="CommentSubject">
    <w:name w:val="annotation subject"/>
    <w:basedOn w:val="CommentText"/>
    <w:next w:val="CommentText"/>
    <w:semiHidden/>
    <w:rsid w:val="006835C8"/>
    <w:rPr>
      <w:b/>
      <w:bCs/>
    </w:rPr>
  </w:style>
  <w:style w:type="character" w:customStyle="1" w:styleId="Heading1Char">
    <w:name w:val="Heading 1 Char"/>
    <w:link w:val="Heading1"/>
    <w:rsid w:val="006835C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835C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835C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835C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835C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835C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835C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835C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835C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835C8"/>
    <w:pPr>
      <w:spacing w:after="0"/>
    </w:pPr>
  </w:style>
  <w:style w:type="paragraph" w:customStyle="1" w:styleId="TAL">
    <w:name w:val="TAL"/>
    <w:basedOn w:val="Normal"/>
    <w:rsid w:val="006835C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835C8"/>
    <w:pPr>
      <w:jc w:val="center"/>
    </w:pPr>
  </w:style>
  <w:style w:type="paragraph" w:customStyle="1" w:styleId="TAH">
    <w:name w:val="TAH"/>
    <w:basedOn w:val="TAC"/>
    <w:rsid w:val="006835C8"/>
    <w:rPr>
      <w:b/>
    </w:rPr>
  </w:style>
  <w:style w:type="paragraph" w:customStyle="1" w:styleId="TAN">
    <w:name w:val="TAN"/>
    <w:basedOn w:val="TAL"/>
    <w:rsid w:val="006835C8"/>
    <w:pPr>
      <w:ind w:left="851" w:hanging="851"/>
    </w:pPr>
  </w:style>
  <w:style w:type="paragraph" w:customStyle="1" w:styleId="TAR">
    <w:name w:val="TAR"/>
    <w:basedOn w:val="TAL"/>
    <w:rsid w:val="006835C8"/>
    <w:pPr>
      <w:jc w:val="right"/>
    </w:pPr>
  </w:style>
  <w:style w:type="paragraph" w:customStyle="1" w:styleId="TH">
    <w:name w:val="TH"/>
    <w:basedOn w:val="Normal"/>
    <w:rsid w:val="006835C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835C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35C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835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35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35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835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835C8"/>
  </w:style>
  <w:style w:type="paragraph" w:customStyle="1" w:styleId="ZH">
    <w:name w:val="ZH"/>
    <w:rsid w:val="006835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835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835C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35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35C8"/>
    <w:pPr>
      <w:framePr w:wrap="notBeside" w:y="16161"/>
    </w:pPr>
  </w:style>
  <w:style w:type="paragraph" w:customStyle="1" w:styleId="FP">
    <w:name w:val="FP"/>
    <w:basedOn w:val="Normal"/>
    <w:rsid w:val="006835C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835C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835C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41448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5NUHHDQN7SK2-1-114868</_dlc_DocId>
    <_dlc_DocIdUrl xmlns="08b2df90-05d3-4030-90d4-c9feeb4a1cd9">
      <Url>https://ericoll.internal.ericsson.com/sites/STAR/_layouts/DocIdRedir.aspx?ID=5NUHHDQN7SK2-1-114868</Url>
      <Description>5NUHHDQN7SK2-1-114868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/>
</file>

<file path=customXml/itemProps2.xml><?xml version="1.0" encoding="utf-8"?>
<ds:datastoreItem xmlns:ds="http://schemas.openxmlformats.org/officeDocument/2006/customXml" ds:itemID="{9B36E9F0-9DBD-40EA-AED0-3F87E0FBAA56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A6ADDEA9-6B92-4E8E-BF1A-BE0E057DD172}"/>
</file>

<file path=customXml/itemProps6.xml><?xml version="1.0" encoding="utf-8"?>
<ds:datastoreItem xmlns:ds="http://schemas.openxmlformats.org/officeDocument/2006/customXml" ds:itemID="{55E0644C-6BEA-4A28-8785-968290B61A99}"/>
</file>

<file path=customXml/itemProps7.xml><?xml version="1.0" encoding="utf-8"?>
<ds:datastoreItem xmlns:ds="http://schemas.openxmlformats.org/officeDocument/2006/customXml" ds:itemID="{67FA05D5-B469-4828-8C48-A0D2B38C3F0E}"/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483</TotalTime>
  <Pages>4</Pages>
  <Words>806</Words>
  <Characters>6537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Stefan Wager</cp:lastModifiedBy>
  <cp:revision>23</cp:revision>
  <cp:lastPrinted>2008-01-31T16:09:00Z</cp:lastPrinted>
  <dcterms:created xsi:type="dcterms:W3CDTF">2017-03-14T09:43:00Z</dcterms:created>
  <dcterms:modified xsi:type="dcterms:W3CDTF">2017-03-24T16:44:00Z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5d217e56-d6a2-4d6d-8ae9-97a27c427e41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